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1D" w:rsidRDefault="00913852">
      <w:pPr>
        <w:pStyle w:val="Predefinito"/>
        <w:jc w:val="center"/>
      </w:pPr>
      <w:r>
        <w:rPr>
          <w:b/>
          <w:sz w:val="24"/>
          <w:szCs w:val="24"/>
        </w:rPr>
        <w:t xml:space="preserve">ASPETTI CLINICO-EPIDEMIOLOGICI E STATO VACCINALE NEI BAMBINI ADOTTATI: </w:t>
      </w:r>
    </w:p>
    <w:p w:rsidR="0096661D" w:rsidRDefault="00913852" w:rsidP="00DA62E2">
      <w:pPr>
        <w:pStyle w:val="Predefinito"/>
        <w:spacing w:after="0"/>
        <w:jc w:val="center"/>
      </w:pPr>
      <w:r>
        <w:rPr>
          <w:b/>
          <w:sz w:val="24"/>
          <w:szCs w:val="24"/>
        </w:rPr>
        <w:t xml:space="preserve">L'ESPERIENZA DEL CENTRO POST-ADOZIONE </w:t>
      </w:r>
      <w:r w:rsidR="00047FFA">
        <w:rPr>
          <w:b/>
          <w:sz w:val="24"/>
          <w:szCs w:val="24"/>
        </w:rPr>
        <w:t xml:space="preserve">INTERNAZIONALE </w:t>
      </w:r>
      <w:proofErr w:type="spellStart"/>
      <w:r>
        <w:rPr>
          <w:b/>
          <w:sz w:val="24"/>
          <w:szCs w:val="24"/>
        </w:rPr>
        <w:t>DI</w:t>
      </w:r>
      <w:proofErr w:type="spellEnd"/>
      <w:r>
        <w:rPr>
          <w:b/>
          <w:sz w:val="24"/>
          <w:szCs w:val="24"/>
        </w:rPr>
        <w:t xml:space="preserve"> BOLOGNA</w:t>
      </w:r>
    </w:p>
    <w:p w:rsidR="0096661D" w:rsidRDefault="0096661D">
      <w:pPr>
        <w:pStyle w:val="Predefinito"/>
        <w:jc w:val="center"/>
      </w:pPr>
    </w:p>
    <w:p w:rsidR="0096661D" w:rsidRDefault="00913852">
      <w:pPr>
        <w:pStyle w:val="Predefinito"/>
        <w:jc w:val="center"/>
      </w:pPr>
      <w:r>
        <w:rPr>
          <w:sz w:val="24"/>
          <w:szCs w:val="24"/>
        </w:rPr>
        <w:t xml:space="preserve">Francesca </w:t>
      </w:r>
      <w:proofErr w:type="spellStart"/>
      <w:r>
        <w:rPr>
          <w:sz w:val="24"/>
          <w:szCs w:val="24"/>
        </w:rPr>
        <w:t>Cipriani</w:t>
      </w:r>
      <w:proofErr w:type="spellEnd"/>
      <w:r>
        <w:rPr>
          <w:sz w:val="24"/>
          <w:szCs w:val="24"/>
        </w:rPr>
        <w:t xml:space="preserve">, </w:t>
      </w:r>
      <w:r w:rsidR="00047FFA">
        <w:rPr>
          <w:sz w:val="24"/>
          <w:szCs w:val="24"/>
        </w:rPr>
        <w:t xml:space="preserve">Elisabetta </w:t>
      </w:r>
      <w:proofErr w:type="spellStart"/>
      <w:r w:rsidR="00047FFA">
        <w:rPr>
          <w:sz w:val="24"/>
          <w:szCs w:val="24"/>
        </w:rPr>
        <w:t>Calamelli</w:t>
      </w:r>
      <w:proofErr w:type="spellEnd"/>
      <w:r w:rsidR="00047FF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Lorenzo Antonio </w:t>
      </w:r>
      <w:proofErr w:type="spellStart"/>
      <w:r>
        <w:rPr>
          <w:sz w:val="24"/>
          <w:szCs w:val="24"/>
        </w:rPr>
        <w:t>Dallari</w:t>
      </w:r>
      <w:proofErr w:type="spellEnd"/>
      <w:r>
        <w:rPr>
          <w:sz w:val="24"/>
          <w:szCs w:val="24"/>
        </w:rPr>
        <w:t xml:space="preserve">, </w:t>
      </w:r>
      <w:r w:rsidR="00047FFA">
        <w:rPr>
          <w:sz w:val="24"/>
          <w:szCs w:val="24"/>
        </w:rPr>
        <w:t xml:space="preserve">Agnese Corbelli, Giuseppe Arena, </w:t>
      </w:r>
      <w:r>
        <w:rPr>
          <w:sz w:val="24"/>
          <w:szCs w:val="24"/>
        </w:rPr>
        <w:t>Giampaolo Ricci</w:t>
      </w:r>
    </w:p>
    <w:p w:rsidR="0096661D" w:rsidRDefault="00913852">
      <w:pPr>
        <w:pStyle w:val="Predefinito"/>
        <w:jc w:val="center"/>
      </w:pPr>
      <w:r>
        <w:rPr>
          <w:sz w:val="24"/>
          <w:szCs w:val="24"/>
        </w:rPr>
        <w:t>Clinica Pediatrica, Dipartimento di Scienze Mediche e Chirurgiche, Università di Bologna</w:t>
      </w:r>
    </w:p>
    <w:p w:rsidR="0096661D" w:rsidRDefault="0096661D">
      <w:pPr>
        <w:pStyle w:val="Predefinito"/>
        <w:jc w:val="both"/>
      </w:pPr>
    </w:p>
    <w:p w:rsidR="0096661D" w:rsidRDefault="00913852">
      <w:pPr>
        <w:pStyle w:val="Predefinito"/>
        <w:jc w:val="both"/>
      </w:pPr>
      <w:r>
        <w:rPr>
          <w:b/>
          <w:sz w:val="24"/>
          <w:szCs w:val="24"/>
        </w:rPr>
        <w:t>Background:</w:t>
      </w:r>
      <w:r>
        <w:rPr>
          <w:sz w:val="24"/>
          <w:szCs w:val="24"/>
        </w:rPr>
        <w:t xml:space="preserve"> Molte sono le problematiche di frequente riscontro nel bambino adottato, ma la loro descrizione in letteratura non è ancora esaustiva.</w:t>
      </w:r>
    </w:p>
    <w:p w:rsidR="0096661D" w:rsidRDefault="00913852">
      <w:pPr>
        <w:pStyle w:val="Predefinito"/>
        <w:jc w:val="both"/>
      </w:pPr>
      <w:r>
        <w:rPr>
          <w:b/>
          <w:sz w:val="24"/>
          <w:szCs w:val="24"/>
        </w:rPr>
        <w:t>Obiettivi:</w:t>
      </w:r>
      <w:r>
        <w:rPr>
          <w:sz w:val="24"/>
          <w:szCs w:val="24"/>
        </w:rPr>
        <w:t xml:space="preserve"> Lo scopo di questo studio è quello di descrivere dal punto di vista </w:t>
      </w:r>
      <w:proofErr w:type="spellStart"/>
      <w:r>
        <w:rPr>
          <w:sz w:val="24"/>
          <w:szCs w:val="24"/>
        </w:rPr>
        <w:t>clinico-epidemiologico</w:t>
      </w:r>
      <w:proofErr w:type="spellEnd"/>
      <w:r>
        <w:rPr>
          <w:sz w:val="24"/>
          <w:szCs w:val="24"/>
        </w:rPr>
        <w:t xml:space="preserve"> una casistica di pazienti adottati, con particolare attenzione allo stato vaccinale e nutrizionale dei pazienti. </w:t>
      </w:r>
    </w:p>
    <w:p w:rsidR="0096661D" w:rsidRDefault="00913852">
      <w:pPr>
        <w:pStyle w:val="Predefinito"/>
        <w:jc w:val="both"/>
      </w:pPr>
      <w:r>
        <w:rPr>
          <w:b/>
          <w:sz w:val="24"/>
          <w:szCs w:val="24"/>
        </w:rPr>
        <w:t>Metodi:</w:t>
      </w:r>
      <w:r>
        <w:rPr>
          <w:sz w:val="24"/>
          <w:szCs w:val="24"/>
        </w:rPr>
        <w:t xml:space="preserve"> Sono stati reclutati pazienti afferenti all’Ambulatorio Post-Adozione </w:t>
      </w:r>
      <w:r w:rsidR="002D011A">
        <w:rPr>
          <w:sz w:val="24"/>
          <w:szCs w:val="24"/>
        </w:rPr>
        <w:t xml:space="preserve">Internazionale </w:t>
      </w:r>
      <w:r>
        <w:rPr>
          <w:sz w:val="24"/>
          <w:szCs w:val="24"/>
        </w:rPr>
        <w:t xml:space="preserve">della Clinica Pediatrica di Bologna negli ultimi 10 anni. Sono stati raccolti </w:t>
      </w:r>
      <w:proofErr w:type="spellStart"/>
      <w:r>
        <w:rPr>
          <w:sz w:val="24"/>
          <w:szCs w:val="24"/>
        </w:rPr>
        <w:t>retrospettivamente</w:t>
      </w:r>
      <w:proofErr w:type="spellEnd"/>
      <w:r>
        <w:rPr>
          <w:sz w:val="24"/>
          <w:szCs w:val="24"/>
        </w:rPr>
        <w:t xml:space="preserve"> i dati anamnestici e clinici rilevati al momento della prima visita e i parametri di laboratorio utili alla valutazione dello stato vaccinale e nutrizionale dei pazienti.</w:t>
      </w:r>
    </w:p>
    <w:p w:rsidR="0096661D" w:rsidRDefault="00913852">
      <w:pPr>
        <w:pStyle w:val="Predefinito"/>
        <w:jc w:val="both"/>
      </w:pPr>
      <w:r>
        <w:rPr>
          <w:b/>
          <w:sz w:val="24"/>
          <w:szCs w:val="24"/>
        </w:rPr>
        <w:t>Risultati:</w:t>
      </w:r>
      <w:r>
        <w:rPr>
          <w:sz w:val="24"/>
          <w:szCs w:val="24"/>
        </w:rPr>
        <w:t xml:space="preserve"> Sono stati inclusi nello studio un totale di 286 bambini di cui 59.8% maschi, con un'età media di 4,9±2,9 anni al momento della visita. I paesi di provenienza più frequenti sono risultati Russia (23,4%), Colo</w:t>
      </w:r>
      <w:r w:rsidR="00047FFA">
        <w:rPr>
          <w:sz w:val="24"/>
          <w:szCs w:val="24"/>
        </w:rPr>
        <w:t>mbia (16.8%) ed Etiopia (9.8%)</w:t>
      </w:r>
      <w:r>
        <w:rPr>
          <w:sz w:val="24"/>
          <w:szCs w:val="24"/>
        </w:rPr>
        <w:t xml:space="preserve">. </w:t>
      </w:r>
    </w:p>
    <w:p w:rsidR="0096661D" w:rsidRDefault="00913852">
      <w:pPr>
        <w:pStyle w:val="Predefinito"/>
        <w:jc w:val="both"/>
      </w:pPr>
      <w:r>
        <w:rPr>
          <w:sz w:val="24"/>
          <w:szCs w:val="24"/>
        </w:rPr>
        <w:t xml:space="preserve">Nel 37.8% dei casi è segnalata alla prima visita la presenza di una malformazione congenita, mentre dalle relazioni cliniche disponibili al momento dell’adozione emerge nel 18,2% dei casi un ritardo dello sviluppo psicomotorio. Il 2,3% dei pazienti è risultato positivo per </w:t>
      </w:r>
      <w:proofErr w:type="spellStart"/>
      <w:r>
        <w:rPr>
          <w:sz w:val="24"/>
          <w:szCs w:val="24"/>
        </w:rPr>
        <w:t>HBsAg</w:t>
      </w:r>
      <w:proofErr w:type="spellEnd"/>
      <w:r>
        <w:rPr>
          <w:sz w:val="24"/>
          <w:szCs w:val="24"/>
        </w:rPr>
        <w:t xml:space="preserve">, lo 0.8% dei pazienti per HCV </w:t>
      </w:r>
      <w:proofErr w:type="spellStart"/>
      <w:r>
        <w:rPr>
          <w:sz w:val="24"/>
          <w:szCs w:val="24"/>
        </w:rPr>
        <w:t>IgG</w:t>
      </w:r>
      <w:proofErr w:type="spellEnd"/>
      <w:r>
        <w:rPr>
          <w:sz w:val="24"/>
          <w:szCs w:val="24"/>
        </w:rPr>
        <w:t xml:space="preserve">, nessuno dei pazienti </w:t>
      </w:r>
      <w:proofErr w:type="spellStart"/>
      <w:r>
        <w:rPr>
          <w:sz w:val="24"/>
          <w:szCs w:val="24"/>
        </w:rPr>
        <w:t>screenati</w:t>
      </w:r>
      <w:proofErr w:type="spellEnd"/>
      <w:r>
        <w:rPr>
          <w:sz w:val="24"/>
          <w:szCs w:val="24"/>
        </w:rPr>
        <w:t xml:space="preserve"> è risultato positivo per HIV. Per quanto riguarda lo stato vaccinale dei pazienti di età &gt;12 mesi</w:t>
      </w:r>
      <w:r w:rsidR="00DA62E2">
        <w:rPr>
          <w:sz w:val="24"/>
          <w:szCs w:val="24"/>
        </w:rPr>
        <w:t xml:space="preserve"> che hanno effettuato le comuni vaccinazioni</w:t>
      </w:r>
      <w:r>
        <w:rPr>
          <w:sz w:val="24"/>
          <w:szCs w:val="24"/>
        </w:rPr>
        <w:t xml:space="preserve">, sono stati riscontrati titoli </w:t>
      </w:r>
      <w:proofErr w:type="spellStart"/>
      <w:r>
        <w:rPr>
          <w:sz w:val="24"/>
          <w:szCs w:val="24"/>
        </w:rPr>
        <w:t>anticorpali</w:t>
      </w:r>
      <w:proofErr w:type="spellEnd"/>
      <w:r>
        <w:rPr>
          <w:sz w:val="24"/>
          <w:szCs w:val="24"/>
        </w:rPr>
        <w:t xml:space="preserve"> protettivi per: </w:t>
      </w:r>
      <w:proofErr w:type="spellStart"/>
      <w:r>
        <w:rPr>
          <w:sz w:val="24"/>
          <w:szCs w:val="24"/>
        </w:rPr>
        <w:t>anti-HBsAg</w:t>
      </w:r>
      <w:proofErr w:type="spellEnd"/>
      <w:r>
        <w:rPr>
          <w:sz w:val="24"/>
          <w:szCs w:val="24"/>
        </w:rPr>
        <w:t xml:space="preserve"> nel </w:t>
      </w:r>
      <w:r w:rsidR="00DA62E2">
        <w:rPr>
          <w:sz w:val="24"/>
          <w:szCs w:val="24"/>
        </w:rPr>
        <w:t>62.3</w:t>
      </w:r>
      <w:r>
        <w:rPr>
          <w:sz w:val="24"/>
          <w:szCs w:val="24"/>
        </w:rPr>
        <w:t xml:space="preserve">%, anti-difterite nel </w:t>
      </w:r>
      <w:r w:rsidR="00DA62E2">
        <w:rPr>
          <w:sz w:val="24"/>
          <w:szCs w:val="24"/>
        </w:rPr>
        <w:t>45.2</w:t>
      </w:r>
      <w:r>
        <w:rPr>
          <w:sz w:val="24"/>
          <w:szCs w:val="24"/>
        </w:rPr>
        <w:t xml:space="preserve">%, anti-tetanica nel </w:t>
      </w:r>
      <w:r w:rsidR="00DA62E2">
        <w:rPr>
          <w:sz w:val="24"/>
          <w:szCs w:val="24"/>
        </w:rPr>
        <w:t>64.7</w:t>
      </w:r>
      <w:r>
        <w:rPr>
          <w:sz w:val="24"/>
          <w:szCs w:val="24"/>
        </w:rPr>
        <w:t xml:space="preserve">%, anti-morbillo nel </w:t>
      </w:r>
      <w:r w:rsidR="00DA62E2">
        <w:rPr>
          <w:sz w:val="24"/>
          <w:szCs w:val="24"/>
        </w:rPr>
        <w:t>74.7</w:t>
      </w:r>
      <w:r>
        <w:rPr>
          <w:sz w:val="24"/>
          <w:szCs w:val="24"/>
        </w:rPr>
        <w:t xml:space="preserve">%, anti-parotite nel </w:t>
      </w:r>
      <w:r w:rsidR="00DA62E2">
        <w:rPr>
          <w:sz w:val="24"/>
          <w:szCs w:val="24"/>
        </w:rPr>
        <w:t>61.6</w:t>
      </w:r>
      <w:r>
        <w:rPr>
          <w:sz w:val="24"/>
          <w:szCs w:val="24"/>
        </w:rPr>
        <w:t xml:space="preserve">%, anti-rosolia nel </w:t>
      </w:r>
      <w:r w:rsidR="00DA62E2">
        <w:rPr>
          <w:sz w:val="24"/>
          <w:szCs w:val="24"/>
        </w:rPr>
        <w:t>82.4</w:t>
      </w:r>
      <w:r>
        <w:rPr>
          <w:sz w:val="24"/>
          <w:szCs w:val="24"/>
        </w:rPr>
        <w:t xml:space="preserve">% dei casi. </w:t>
      </w:r>
    </w:p>
    <w:p w:rsidR="0096661D" w:rsidRDefault="00913852">
      <w:pPr>
        <w:pStyle w:val="Predefinito"/>
        <w:jc w:val="both"/>
      </w:pPr>
      <w:r>
        <w:rPr>
          <w:sz w:val="24"/>
          <w:szCs w:val="24"/>
        </w:rPr>
        <w:t xml:space="preserve">Una insufficienza di vitamina 25-OH D (&lt;30 </w:t>
      </w:r>
      <w:proofErr w:type="spellStart"/>
      <w:r>
        <w:rPr>
          <w:sz w:val="24"/>
          <w:szCs w:val="24"/>
        </w:rPr>
        <w:t>microg</w:t>
      </w:r>
      <w:proofErr w:type="spellEnd"/>
      <w:r>
        <w:rPr>
          <w:sz w:val="24"/>
          <w:szCs w:val="24"/>
        </w:rPr>
        <w:t xml:space="preserve">/L) è stata documentata nel 52.6%  dei pazienti, con livelli medi di 36,6±43,7 </w:t>
      </w:r>
      <w:proofErr w:type="spellStart"/>
      <w:r>
        <w:rPr>
          <w:sz w:val="24"/>
          <w:szCs w:val="24"/>
        </w:rPr>
        <w:t>microg</w:t>
      </w:r>
      <w:proofErr w:type="spellEnd"/>
      <w:r>
        <w:rPr>
          <w:sz w:val="24"/>
          <w:szCs w:val="24"/>
        </w:rPr>
        <w:t>/L. Il 6.1% dei pazienti aveva carenza marziale (</w:t>
      </w:r>
      <w:proofErr w:type="spellStart"/>
      <w:r>
        <w:rPr>
          <w:sz w:val="24"/>
          <w:szCs w:val="24"/>
        </w:rPr>
        <w:t>sideremia</w:t>
      </w:r>
      <w:proofErr w:type="spellEnd"/>
      <w:r>
        <w:rPr>
          <w:sz w:val="24"/>
          <w:szCs w:val="24"/>
        </w:rPr>
        <w:t xml:space="preserve"> &lt;37 </w:t>
      </w:r>
      <w:proofErr w:type="spellStart"/>
      <w:r>
        <w:rPr>
          <w:sz w:val="24"/>
          <w:szCs w:val="24"/>
        </w:rPr>
        <w:t>microg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dL</w:t>
      </w:r>
      <w:proofErr w:type="spellEnd"/>
      <w:r>
        <w:rPr>
          <w:sz w:val="24"/>
          <w:szCs w:val="24"/>
        </w:rPr>
        <w:t xml:space="preserve">), mentre un TSH elevato (&gt;4,5 </w:t>
      </w:r>
      <w:proofErr w:type="spellStart"/>
      <w:r>
        <w:rPr>
          <w:sz w:val="24"/>
          <w:szCs w:val="24"/>
        </w:rPr>
        <w:t>microIU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mL</w:t>
      </w:r>
      <w:proofErr w:type="spellEnd"/>
      <w:r>
        <w:rPr>
          <w:sz w:val="24"/>
          <w:szCs w:val="24"/>
        </w:rPr>
        <w:t xml:space="preserve">) è stato documentato nel 10,1% dei pazienti. Il 20.9% dei pazienti presentava almeno un esame delle feci positivo per parassiti patogeni, con prevalenza di </w:t>
      </w:r>
      <w:proofErr w:type="spellStart"/>
      <w:r>
        <w:rPr>
          <w:sz w:val="24"/>
          <w:szCs w:val="24"/>
        </w:rPr>
        <w:t>Giardia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intestinalis</w:t>
      </w:r>
      <w:proofErr w:type="spellEnd"/>
      <w:r>
        <w:rPr>
          <w:sz w:val="24"/>
          <w:szCs w:val="24"/>
        </w:rPr>
        <w:t xml:space="preserve"> (86.4% dei casi).</w:t>
      </w:r>
    </w:p>
    <w:p w:rsidR="0096661D" w:rsidRDefault="00913852">
      <w:pPr>
        <w:pStyle w:val="Predefinito"/>
        <w:jc w:val="both"/>
      </w:pPr>
      <w:r>
        <w:rPr>
          <w:b/>
          <w:sz w:val="24"/>
          <w:szCs w:val="24"/>
        </w:rPr>
        <w:t>Conclusioni:</w:t>
      </w:r>
      <w:r>
        <w:rPr>
          <w:sz w:val="24"/>
          <w:szCs w:val="24"/>
        </w:rPr>
        <w:t xml:space="preserve"> Dalla nostra casistica emerge un basso tasso di protezione vaccinale per le principali vaccinazioni, un'elevata prevalenza di ipovitaminosi D, </w:t>
      </w:r>
      <w:proofErr w:type="spellStart"/>
      <w:r>
        <w:rPr>
          <w:sz w:val="24"/>
          <w:szCs w:val="24"/>
        </w:rPr>
        <w:t>ipertireotropinemia</w:t>
      </w:r>
      <w:proofErr w:type="spellEnd"/>
      <w:r>
        <w:rPr>
          <w:sz w:val="24"/>
          <w:szCs w:val="24"/>
        </w:rPr>
        <w:t xml:space="preserve"> e parassitosi intestinali nei bambini adottati. Lo screening di questi soggetti rappresenta pertanto un elemento importante per mettere in atto le misure terapeutiche necessarie e un attento follow-up.</w:t>
      </w:r>
    </w:p>
    <w:sectPr w:rsidR="0096661D" w:rsidSect="0096661D">
      <w:pgSz w:w="11906" w:h="16838"/>
      <w:pgMar w:top="1417" w:right="1134" w:bottom="1134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96661D"/>
    <w:rsid w:val="00021004"/>
    <w:rsid w:val="00047FFA"/>
    <w:rsid w:val="002D011A"/>
    <w:rsid w:val="0072307E"/>
    <w:rsid w:val="0076036D"/>
    <w:rsid w:val="00913852"/>
    <w:rsid w:val="0096661D"/>
    <w:rsid w:val="00B31B84"/>
    <w:rsid w:val="00D7377C"/>
    <w:rsid w:val="00DA62E2"/>
    <w:rsid w:val="00F26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7377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redefinito">
    <w:name w:val="Predefinito"/>
    <w:rsid w:val="0096661D"/>
    <w:pPr>
      <w:suppressAutoHyphens/>
      <w:overflowPunct w:val="0"/>
    </w:pPr>
    <w:rPr>
      <w:rFonts w:ascii="Calibri" w:eastAsia="Arial Unicode MS" w:hAnsi="Calibri" w:cs="Calibri"/>
      <w:color w:val="00000A"/>
      <w:lang w:eastAsia="en-US"/>
    </w:rPr>
  </w:style>
  <w:style w:type="paragraph" w:styleId="Intestazione">
    <w:name w:val="header"/>
    <w:basedOn w:val="Predefinito"/>
    <w:next w:val="Corpotesto"/>
    <w:rsid w:val="0096661D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Corpotesto">
    <w:name w:val="Corpo testo"/>
    <w:basedOn w:val="Predefinito"/>
    <w:rsid w:val="0096661D"/>
    <w:pPr>
      <w:spacing w:after="120"/>
    </w:pPr>
  </w:style>
  <w:style w:type="paragraph" w:styleId="Elenco">
    <w:name w:val="List"/>
    <w:basedOn w:val="Corpotesto"/>
    <w:rsid w:val="0096661D"/>
    <w:rPr>
      <w:rFonts w:cs="Mangal"/>
    </w:rPr>
  </w:style>
  <w:style w:type="paragraph" w:styleId="Didascalia">
    <w:name w:val="caption"/>
    <w:basedOn w:val="Predefinito"/>
    <w:rsid w:val="0096661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Predefinito"/>
    <w:rsid w:val="0096661D"/>
    <w:pPr>
      <w:suppressLineNumbers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2420</Characters>
  <Application>Microsoft Office Word</Application>
  <DocSecurity>0</DocSecurity>
  <Lines>20</Lines>
  <Paragraphs>5</Paragraphs>
  <ScaleCrop>false</ScaleCrop>
  <Company>Hewlett-Packard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Francesca</cp:lastModifiedBy>
  <cp:revision>3</cp:revision>
  <dcterms:created xsi:type="dcterms:W3CDTF">2016-04-02T09:29:00Z</dcterms:created>
  <dcterms:modified xsi:type="dcterms:W3CDTF">2016-04-02T12:34:00Z</dcterms:modified>
</cp:coreProperties>
</file>